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C3979C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93822">
                              <w:rPr>
                                <w:rFonts w:ascii="Palatino" w:hAnsi="Palatino"/>
                                <w:color w:val="1B6A95"/>
                              </w:rPr>
                              <w:t>Touching the Untouchable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82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5:12-16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C3979C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93822">
                        <w:rPr>
                          <w:rFonts w:ascii="Palatino" w:hAnsi="Palatino"/>
                          <w:color w:val="1B6A95"/>
                        </w:rPr>
                        <w:t>Touching the Untouchable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82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5:12-16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0325C493" w:rsidR="001A5D61" w:rsidRDefault="00E93822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leper’s desperate request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12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07DF31BB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38464" w14:textId="6D3F6E2C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29275" w14:textId="0E0D5E19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DFA7FF" w14:textId="77777777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24F50205" w:rsidR="001A5D61" w:rsidRDefault="00E93822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Lord’s powerful reach (v. 13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076971BE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D3454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E6F44" w14:textId="6C3C9CFA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5F1DA0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53CA5924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39E645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43CA12" w14:textId="561F3FCB" w:rsidR="00E53D06" w:rsidRDefault="00E93822" w:rsidP="00E53D0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Lord’s surprising reactions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14-16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ABE8B0" w14:textId="77777777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93822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C97345-D88E-47D8-AFBE-2CE2F00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2022-01-04T15:06:00Z</dcterms:created>
  <dcterms:modified xsi:type="dcterms:W3CDTF">2022-01-04T15:06:00Z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